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0023-01-202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>1532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5"/>
          <w:szCs w:val="25"/>
        </w:rPr>
        <w:t>№ 5-</w:t>
      </w:r>
      <w:r>
        <w:rPr>
          <w:rFonts w:ascii="Times New Roman" w:eastAsia="Times New Roman" w:hAnsi="Times New Roman" w:cs="Times New Roman"/>
          <w:sz w:val="25"/>
          <w:szCs w:val="25"/>
        </w:rPr>
        <w:t>355</w:t>
      </w:r>
      <w:r>
        <w:rPr>
          <w:rFonts w:ascii="Times New Roman" w:eastAsia="Times New Roman" w:hAnsi="Times New Roman" w:cs="Times New Roman"/>
          <w:sz w:val="25"/>
          <w:szCs w:val="25"/>
        </w:rPr>
        <w:t>-2301/202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27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га-Югры Янбаева Г.Х. (ХМАО-Югра, г. Покачи, пер. Майский, дом № 2),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 участия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должностного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Вязова Е.В.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председателя РМОЭД «ТРЕТЬЯ ПЛАНЕТА ОТ СОЛНЦА» Вязова Евгения Викторовича, </w:t>
      </w:r>
      <w:r>
        <w:rPr>
          <w:rStyle w:val="cat-PassportDatagrp-24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Style w:val="cat-UserDefinedgrp-3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5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UserDefinedgrp-3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зарегистрированного и проживающего по адресу: </w:t>
      </w:r>
      <w:r>
        <w:rPr>
          <w:rStyle w:val="cat-Addressgrp-5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привлекаемо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1 ст. 15.33.2 Кодекса РФ об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административных правонарушениях, ранее не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 w:line="274" w:lineRule="atLeast"/>
        <w:ind w:left="5"/>
        <w:jc w:val="center"/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Вязов Е.В.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председателем РМОЭД «ТРЕТЬЯ ПЛАНЕТА ОТ СОЛНЦА»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подп.5 п.2, п.6 ст.11 Федерального закона от 01.04.1996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по телекоммуникационным каналам связи предоставил в Отделение Фонда пенсионного и социального страхования по Ханты-Мансийскому автономному округу – Югре сведения о заключении 18 февраля 2024 года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РМОЭД «ТРЕТЬЯ ПЛАНЕТА ОТ СОЛНЦА»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Быстряковой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Екатериной Сергеевной (СНИЛС </w:t>
      </w:r>
      <w:r>
        <w:rPr>
          <w:rStyle w:val="cat-UserDefinedgrp-35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), договора гражданско-правового характера, срок предоставления которых, истёк в 24 час. 00 мин. 19 февраля 2024 года, и 20 февраля 2024 года в 00 час. 01 мин. по месту осуществления деятельности юридического лица ХМАО – Югра, г. Покачи, ул. М</w:t>
      </w:r>
      <w:r>
        <w:rPr>
          <w:rFonts w:ascii="Times New Roman" w:eastAsia="Times New Roman" w:hAnsi="Times New Roman" w:cs="Times New Roman"/>
          <w:sz w:val="25"/>
          <w:szCs w:val="25"/>
        </w:rPr>
        <w:t>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дом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кв. № </w:t>
      </w:r>
      <w:r>
        <w:rPr>
          <w:rFonts w:ascii="Times New Roman" w:eastAsia="Times New Roman" w:hAnsi="Times New Roman" w:cs="Times New Roman"/>
          <w:sz w:val="25"/>
          <w:szCs w:val="25"/>
        </w:rPr>
        <w:t>105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 правонарушение, предусмотренное ч. 1 ст. 15.33.2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Вязов Е.В.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явился, извещен надлежащим образом, ходатайство об отложении судебного заседания не заявлял, причин своей неявки суду не сообщил</w:t>
      </w:r>
      <w:r>
        <w:rPr>
          <w:rFonts w:ascii="Times New Roman" w:eastAsia="Times New Roman" w:hAnsi="Times New Roman" w:cs="Times New Roman"/>
          <w:sz w:val="25"/>
          <w:szCs w:val="25"/>
        </w:rPr>
        <w:t>, получение судебного извещения по месту регистрации юридического лица, по месту жительства не обеспечил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Вязова Е.В.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1182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выписку из ЕГРЮЛ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Вязов Е.В.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является должностным лицом –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председателем РМОЭД «ТРЕТЬЯ ПЛАНЕТА ОТ СОЛНЦА»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приходит к следующему выводу: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 Федерального закона от 01.04.1996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27-ФЗ сведения, указанные в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сведения о заключении </w:t>
      </w:r>
      <w:r>
        <w:rPr>
          <w:rFonts w:ascii="Times New Roman" w:eastAsia="Times New Roman" w:hAnsi="Times New Roman" w:cs="Times New Roman"/>
          <w:sz w:val="25"/>
          <w:szCs w:val="25"/>
        </w:rPr>
        <w:t>18 февраля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договора гражданско-правового характера </w:t>
      </w:r>
      <w:r>
        <w:rPr>
          <w:rFonts w:ascii="Times New Roman" w:eastAsia="Times New Roman" w:hAnsi="Times New Roman" w:cs="Times New Roman"/>
          <w:sz w:val="25"/>
          <w:szCs w:val="25"/>
        </w:rPr>
        <w:t>РМОЭД «ТРЕТЬЯ ПЛАНЕТА ОТ СОЛНЦА»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Быстряковой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Екатериной Сергеевной (СНИЛС </w:t>
      </w:r>
      <w:r>
        <w:rPr>
          <w:rStyle w:val="cat-UserDefinedgrp-35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(ЕФС-1) следовало предоставить не позднее 24 час.00 мин. </w:t>
      </w:r>
      <w:r>
        <w:rPr>
          <w:rFonts w:ascii="Times New Roman" w:eastAsia="Times New Roman" w:hAnsi="Times New Roman" w:cs="Times New Roman"/>
          <w:sz w:val="25"/>
          <w:szCs w:val="25"/>
        </w:rPr>
        <w:t>19 февраля 2024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РМОЭД «ТРЕТЬЯ ПЛАНЕТА ОТ СОЛНЦА»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24 февраля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</w:rPr>
        <w:t>Вязова Е.В.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являющейся должностным лицом, ответственным за предоставление сведений по форме ЕФС-1,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Бездействие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Вязова Е.В.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ч.1 ст.15.33.2 КоАП РФ - непредставление в установленный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разъяснению, содержащемуся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</w:t>
      </w:r>
      <w:r>
        <w:rPr>
          <w:rFonts w:ascii="Times New Roman" w:eastAsia="Times New Roman" w:hAnsi="Times New Roman" w:cs="Times New Roman"/>
          <w:sz w:val="25"/>
          <w:szCs w:val="25"/>
        </w:rPr>
        <w:t>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Поскольку ст. 15.33.2 КоАП РФ не указана в перечне статей, по которым административные правонарушения не могут быть признаны малозначительными и статьей 2.9 КоАП РФ не установлены критерии, по которым то или иное правонарушение можно признать малозначительным, при квалификации правонарушения в качестве такового суд должен исходить из оценки конкретных обстоятельств его совершения и в соответствии со статьей 26.11 КоАП РФ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Нарушение должностным лицом при формальном наличии всех признаков состава правонарушения само по себе не содержит каких - либо опасных угроз для личности, общества или государства, а также принимая во внимание, что деяние не повлекло неблагоприятных последствий.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следует, что правонарушитель допустил незначительное отступление от установленных федеральным законодательством сроков подачи формы. Доказательств, свидетельствующих о наличии существенной угрозы охраняемым общественным отношениям, в дело не представлено, что фактически свидетельствует о малозначительности правонарушения, предусмотренного ч.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15.33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.2 КоАП Российской Федерации.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конкретных обстоятельств дела, отсутствия существенной угрозы охраняемым общественных отношениям и причинения вреда, исходя из целей и общих принципов назначения наказания, суд считает возможным применить в данной ситуации положения статьи 2.9 КоАП РФ и освободить </w:t>
      </w:r>
      <w:r>
        <w:rPr>
          <w:rFonts w:ascii="Times New Roman" w:eastAsia="Times New Roman" w:hAnsi="Times New Roman" w:cs="Times New Roman"/>
          <w:sz w:val="25"/>
          <w:szCs w:val="25"/>
        </w:rPr>
        <w:t>Вязова Е.В.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административной ответственности, прекратив производство по делу, с объявлением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ему устного замечания.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2.9, 29.9, 29.10, 29.11 КоАП РФ мировой судья,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Прекратить производство по делу об административном правонарушении, возбужденному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должностного лица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председателя РМОЭД «ТРЕТЬЯ ПЛАНЕТА ОТ СОЛНЦА» Вязова Евгения Викторовича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ч. 1 ст.15.33.2 КоАП РФ, объявив ему устное замечание.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Г.Х. Янбаева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355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___________________Н.В. 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5rplc-37">
    <w:name w:val="cat-UserDefined grp-3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